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D4" w:rsidRPr="00E23BE6" w:rsidRDefault="00C1537B" w:rsidP="00E23BE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BE6">
        <w:rPr>
          <w:rFonts w:ascii="Times New Roman" w:eastAsia="MS Mincho" w:hAnsi="Times New Roman" w:cs="Times New Roman"/>
          <w:sz w:val="22"/>
          <w:szCs w:val="22"/>
        </w:rPr>
        <w:t>Las Senadoras</w:t>
      </w:r>
      <w:r w:rsidRPr="00E23BE6">
        <w:rPr>
          <w:rFonts w:ascii="Times New Roman" w:eastAsia="MS Mincho" w:hAnsi="Times New Roman" w:cs="Times New Roman"/>
          <w:b/>
          <w:sz w:val="22"/>
          <w:szCs w:val="22"/>
        </w:rPr>
        <w:t xml:space="preserve"> L</w:t>
      </w:r>
      <w:r w:rsidRPr="00E23BE6">
        <w:rPr>
          <w:rFonts w:ascii="Times New Roman" w:eastAsia="MS Mincho" w:hAnsi="Times New Roman" w:cs="Times New Roman"/>
          <w:b/>
          <w:caps/>
          <w:sz w:val="22"/>
          <w:szCs w:val="22"/>
        </w:rPr>
        <w:t xml:space="preserve">aura Angélica Rojas Hernández, Dolores Padierna Luna, María Marcela Torres </w:t>
      </w:r>
      <w:proofErr w:type="spellStart"/>
      <w:r w:rsidRPr="00E23BE6">
        <w:rPr>
          <w:rFonts w:ascii="Times New Roman" w:eastAsia="MS Mincho" w:hAnsi="Times New Roman" w:cs="Times New Roman"/>
          <w:b/>
          <w:caps/>
          <w:sz w:val="22"/>
          <w:szCs w:val="22"/>
        </w:rPr>
        <w:t>Peimbert</w:t>
      </w:r>
      <w:proofErr w:type="spellEnd"/>
      <w:r w:rsidRPr="00E23BE6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Pr="00E23BE6">
        <w:rPr>
          <w:rFonts w:ascii="Times New Roman" w:eastAsia="MS Mincho" w:hAnsi="Times New Roman" w:cs="Times New Roman"/>
          <w:sz w:val="22"/>
          <w:szCs w:val="22"/>
        </w:rPr>
        <w:t xml:space="preserve">y </w:t>
      </w:r>
      <w:r w:rsidR="00750034" w:rsidRPr="00E23BE6">
        <w:rPr>
          <w:rFonts w:ascii="Times New Roman" w:eastAsia="MS Mincho" w:hAnsi="Times New Roman" w:cs="Times New Roman"/>
          <w:sz w:val="22"/>
          <w:szCs w:val="22"/>
        </w:rPr>
        <w:t>los</w:t>
      </w:r>
      <w:r w:rsidRPr="00E23BE6">
        <w:rPr>
          <w:rFonts w:ascii="Times New Roman" w:eastAsia="MS Mincho" w:hAnsi="Times New Roman" w:cs="Times New Roman"/>
          <w:sz w:val="22"/>
          <w:szCs w:val="22"/>
        </w:rPr>
        <w:t xml:space="preserve"> Senador</w:t>
      </w:r>
      <w:r w:rsidR="00750034" w:rsidRPr="00E23BE6">
        <w:rPr>
          <w:rFonts w:ascii="Times New Roman" w:eastAsia="MS Mincho" w:hAnsi="Times New Roman" w:cs="Times New Roman"/>
          <w:sz w:val="22"/>
          <w:szCs w:val="22"/>
        </w:rPr>
        <w:t>es</w:t>
      </w:r>
      <w:r w:rsidRPr="00E23BE6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Pr="00E23BE6">
        <w:rPr>
          <w:rFonts w:ascii="Times New Roman" w:eastAsia="MS Mincho" w:hAnsi="Times New Roman" w:cs="Times New Roman"/>
          <w:b/>
          <w:caps/>
          <w:sz w:val="22"/>
          <w:szCs w:val="22"/>
        </w:rPr>
        <w:t>Daniel Gabriel Ávila Ruiz,</w:t>
      </w:r>
      <w:r w:rsidR="00750034" w:rsidRPr="00E23BE6">
        <w:rPr>
          <w:rFonts w:ascii="Times New Roman" w:eastAsia="MS Mincho" w:hAnsi="Times New Roman" w:cs="Times New Roman"/>
          <w:b/>
          <w:caps/>
          <w:sz w:val="22"/>
          <w:szCs w:val="22"/>
        </w:rPr>
        <w:t xml:space="preserve"> Alejandro de Jesús Encinas Rodríguez </w:t>
      </w:r>
      <w:r w:rsidR="00750034" w:rsidRPr="00E23BE6">
        <w:rPr>
          <w:rFonts w:ascii="Times New Roman" w:eastAsia="MS Mincho" w:hAnsi="Times New Roman" w:cs="Times New Roman"/>
          <w:sz w:val="22"/>
          <w:szCs w:val="22"/>
        </w:rPr>
        <w:t>e</w:t>
      </w:r>
      <w:r w:rsidR="00750034" w:rsidRPr="00E23BE6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750034" w:rsidRPr="00E23BE6">
        <w:rPr>
          <w:rFonts w:ascii="Times New Roman" w:eastAsia="MS Mincho" w:hAnsi="Times New Roman" w:cs="Times New Roman"/>
          <w:b/>
          <w:caps/>
          <w:sz w:val="22"/>
          <w:szCs w:val="22"/>
        </w:rPr>
        <w:t xml:space="preserve">Isidro Pedraza </w:t>
      </w:r>
      <w:proofErr w:type="spellStart"/>
      <w:r w:rsidR="00750034" w:rsidRPr="00E23BE6">
        <w:rPr>
          <w:rFonts w:ascii="Times New Roman" w:eastAsia="MS Mincho" w:hAnsi="Times New Roman" w:cs="Times New Roman"/>
          <w:b/>
          <w:caps/>
          <w:sz w:val="22"/>
          <w:szCs w:val="22"/>
        </w:rPr>
        <w:t>Chávez</w:t>
      </w:r>
      <w:r w:rsidR="00750034" w:rsidRPr="00E23BE6">
        <w:rPr>
          <w:rFonts w:ascii="Times New Roman" w:eastAsia="MS Mincho" w:hAnsi="Times New Roman" w:cs="Times New Roman"/>
          <w:b/>
          <w:sz w:val="22"/>
          <w:szCs w:val="22"/>
        </w:rPr>
        <w:t>,</w:t>
      </w:r>
      <w:r w:rsidRPr="00E23BE6">
        <w:rPr>
          <w:rFonts w:ascii="Times New Roman" w:eastAsia="MS Mincho" w:hAnsi="Times New Roman" w:cs="Times New Roman"/>
          <w:sz w:val="22"/>
          <w:szCs w:val="22"/>
        </w:rPr>
        <w:t>dela</w:t>
      </w:r>
      <w:proofErr w:type="spellEnd"/>
      <w:r w:rsidRPr="00E23BE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E23BE6">
        <w:rPr>
          <w:rFonts w:ascii="Times New Roman" w:eastAsia="MS Mincho" w:hAnsi="Times New Roman" w:cs="Times New Roman"/>
          <w:sz w:val="22"/>
          <w:szCs w:val="22"/>
        </w:rPr>
        <w:t>LXII</w:t>
      </w:r>
      <w:proofErr w:type="spellEnd"/>
      <w:r w:rsidRPr="00E23BE6">
        <w:rPr>
          <w:rFonts w:ascii="Times New Roman" w:eastAsia="MS Mincho" w:hAnsi="Times New Roman" w:cs="Times New Roman"/>
          <w:sz w:val="22"/>
          <w:szCs w:val="22"/>
        </w:rPr>
        <w:t xml:space="preserve"> Legislatura del Congreso de la Unión</w:t>
      </w:r>
      <w:r w:rsidR="007C30D4" w:rsidRPr="00E23BE6">
        <w:rPr>
          <w:rFonts w:ascii="Times New Roman" w:hAnsi="Times New Roman" w:cs="Times New Roman"/>
          <w:sz w:val="22"/>
          <w:szCs w:val="22"/>
        </w:rPr>
        <w:t>con fundamento en lo dispuesto por los artículos 8 numeral 1, fracción II y 276 del Reglamento del Senado de la República, presento a consideración de esta Honorable Asamblea la proposición con Punto de acuerdo que exhorta respetuosamente a</w:t>
      </w:r>
      <w:r w:rsidR="006E1DB8" w:rsidRPr="00E23BE6">
        <w:rPr>
          <w:rFonts w:ascii="Times New Roman" w:hAnsi="Times New Roman" w:cs="Times New Roman"/>
          <w:sz w:val="22"/>
          <w:szCs w:val="22"/>
        </w:rPr>
        <w:t xml:space="preserve"> l</w:t>
      </w:r>
      <w:r w:rsidR="00007277" w:rsidRPr="00E23BE6">
        <w:rPr>
          <w:rFonts w:ascii="Times New Roman" w:hAnsi="Times New Roman" w:cs="Times New Roman"/>
          <w:sz w:val="22"/>
          <w:szCs w:val="22"/>
        </w:rPr>
        <w:t xml:space="preserve">a </w:t>
      </w:r>
      <w:r w:rsidR="00007277" w:rsidRPr="00E23BE6">
        <w:rPr>
          <w:rFonts w:ascii="Times New Roman" w:hAnsi="Times New Roman" w:cs="Times New Roman"/>
          <w:b/>
          <w:sz w:val="22"/>
          <w:szCs w:val="22"/>
        </w:rPr>
        <w:t xml:space="preserve">Secretaría de la Función Pública a </w:t>
      </w:r>
      <w:r w:rsidR="006E1DB8" w:rsidRPr="00E23BE6">
        <w:rPr>
          <w:rFonts w:ascii="Times New Roman" w:hAnsi="Times New Roman" w:cs="Times New Roman"/>
          <w:b/>
          <w:sz w:val="22"/>
          <w:szCs w:val="22"/>
        </w:rPr>
        <w:t xml:space="preserve">que rinda un informe pormenorizado sobre las contrataciones de la Administración Pública Federal realizadas con la empresa </w:t>
      </w:r>
      <w:r w:rsidR="00007277" w:rsidRPr="00E23BE6">
        <w:rPr>
          <w:rFonts w:ascii="Times New Roman" w:hAnsi="Times New Roman" w:cs="Times New Roman"/>
          <w:b/>
          <w:sz w:val="22"/>
          <w:szCs w:val="22"/>
        </w:rPr>
        <w:t>Grupo Higa</w:t>
      </w:r>
      <w:r w:rsidR="00AD362E" w:rsidRPr="00E23BE6">
        <w:rPr>
          <w:rFonts w:ascii="Times New Roman" w:hAnsi="Times New Roman" w:cs="Times New Roman"/>
          <w:b/>
          <w:sz w:val="22"/>
          <w:szCs w:val="22"/>
        </w:rPr>
        <w:t xml:space="preserve"> o con las empresas </w:t>
      </w:r>
      <w:r w:rsidR="007218B4" w:rsidRPr="00E23BE6">
        <w:rPr>
          <w:rFonts w:ascii="Times New Roman" w:hAnsi="Times New Roman" w:cs="Times New Roman"/>
          <w:b/>
          <w:sz w:val="22"/>
          <w:szCs w:val="22"/>
        </w:rPr>
        <w:t>en</w:t>
      </w:r>
      <w:r w:rsidR="00AD362E" w:rsidRPr="00E23BE6">
        <w:rPr>
          <w:rFonts w:ascii="Times New Roman" w:hAnsi="Times New Roman" w:cs="Times New Roman"/>
          <w:b/>
          <w:sz w:val="22"/>
          <w:szCs w:val="22"/>
        </w:rPr>
        <w:t xml:space="preserve"> que sea socio o accionista el señor Juan Armando Hinojosa Cantú</w:t>
      </w:r>
      <w:r w:rsidR="002E7332" w:rsidRPr="00E23BE6">
        <w:rPr>
          <w:rFonts w:ascii="Times New Roman" w:hAnsi="Times New Roman" w:cs="Times New Roman"/>
          <w:b/>
          <w:sz w:val="22"/>
          <w:szCs w:val="22"/>
        </w:rPr>
        <w:t>.</w:t>
      </w:r>
    </w:p>
    <w:p w:rsidR="00132635" w:rsidRPr="00E23BE6" w:rsidRDefault="00132635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7277" w:rsidRPr="00E23BE6" w:rsidRDefault="006E1DB8" w:rsidP="00E23BE6">
      <w:pPr>
        <w:jc w:val="center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b/>
          <w:sz w:val="22"/>
          <w:szCs w:val="22"/>
        </w:rPr>
        <w:t>ANTECEDENTES</w:t>
      </w:r>
    </w:p>
    <w:p w:rsidR="00ED4A23" w:rsidRPr="00E23BE6" w:rsidRDefault="00ED4A23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22C2" w:rsidRPr="00E23BE6" w:rsidRDefault="0021139B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 xml:space="preserve">En fechas recientes </w:t>
      </w:r>
      <w:r w:rsidR="007218B4" w:rsidRPr="00E23BE6">
        <w:rPr>
          <w:rFonts w:ascii="Times New Roman" w:hAnsi="Times New Roman" w:cs="Times New Roman"/>
          <w:sz w:val="22"/>
          <w:szCs w:val="22"/>
        </w:rPr>
        <w:t>salieron a la luz</w:t>
      </w:r>
      <w:r w:rsidRPr="00E23BE6">
        <w:rPr>
          <w:rFonts w:ascii="Times New Roman" w:hAnsi="Times New Roman" w:cs="Times New Roman"/>
          <w:sz w:val="22"/>
          <w:szCs w:val="22"/>
        </w:rPr>
        <w:t xml:space="preserve"> pública</w:t>
      </w:r>
      <w:r w:rsidR="00ED4A23" w:rsidRPr="00E23BE6">
        <w:rPr>
          <w:rFonts w:ascii="Times New Roman" w:hAnsi="Times New Roman" w:cs="Times New Roman"/>
          <w:sz w:val="22"/>
          <w:szCs w:val="22"/>
        </w:rPr>
        <w:t xml:space="preserve"> una serie de hechos que suponen infracciones a las leyes administrativas que rigen al servicio público, así como la posible comisión de delitos relacionados con corrupción</w:t>
      </w:r>
      <w:r w:rsidR="009622C2" w:rsidRPr="00E23BE6">
        <w:rPr>
          <w:rFonts w:ascii="Times New Roman" w:hAnsi="Times New Roman" w:cs="Times New Roman"/>
          <w:sz w:val="22"/>
          <w:szCs w:val="22"/>
        </w:rPr>
        <w:t xml:space="preserve">. </w:t>
      </w:r>
      <w:r w:rsidR="00675C59" w:rsidRPr="00E23BE6">
        <w:rPr>
          <w:rFonts w:ascii="Times New Roman" w:hAnsi="Times New Roman" w:cs="Times New Roman"/>
          <w:sz w:val="22"/>
          <w:szCs w:val="22"/>
        </w:rPr>
        <w:t xml:space="preserve">Unir </w:t>
      </w:r>
      <w:r w:rsidR="0017235D" w:rsidRPr="00E23BE6">
        <w:rPr>
          <w:rFonts w:ascii="Times New Roman" w:hAnsi="Times New Roman" w:cs="Times New Roman"/>
          <w:sz w:val="22"/>
          <w:szCs w:val="22"/>
        </w:rPr>
        <w:t xml:space="preserve">los puntos de a) </w:t>
      </w:r>
      <w:r w:rsidR="008A24F2" w:rsidRPr="00E23BE6">
        <w:rPr>
          <w:rFonts w:ascii="Times New Roman" w:hAnsi="Times New Roman" w:cs="Times New Roman"/>
          <w:sz w:val="22"/>
          <w:szCs w:val="22"/>
        </w:rPr>
        <w:t>la cancelación de la licitación del tren México Querétaro que había ganado Grupo Higa</w:t>
      </w:r>
      <w:r w:rsidRPr="00E23BE6">
        <w:rPr>
          <w:rFonts w:ascii="Times New Roman" w:hAnsi="Times New Roman" w:cs="Times New Roman"/>
          <w:sz w:val="22"/>
          <w:szCs w:val="22"/>
        </w:rPr>
        <w:t>, b</w:t>
      </w:r>
      <w:r w:rsidR="008A24F2" w:rsidRPr="00E23BE6">
        <w:rPr>
          <w:rFonts w:ascii="Times New Roman" w:hAnsi="Times New Roman" w:cs="Times New Roman"/>
          <w:sz w:val="22"/>
          <w:szCs w:val="22"/>
        </w:rPr>
        <w:t>)</w:t>
      </w:r>
      <w:r w:rsidRPr="00E23BE6">
        <w:rPr>
          <w:rFonts w:ascii="Times New Roman" w:hAnsi="Times New Roman" w:cs="Times New Roman"/>
          <w:sz w:val="22"/>
          <w:szCs w:val="22"/>
        </w:rPr>
        <w:t xml:space="preserve">la </w:t>
      </w:r>
      <w:r w:rsidR="0017235D" w:rsidRPr="00E23BE6">
        <w:rPr>
          <w:rFonts w:ascii="Times New Roman" w:hAnsi="Times New Roman" w:cs="Times New Roman"/>
          <w:sz w:val="22"/>
          <w:szCs w:val="22"/>
        </w:rPr>
        <w:t xml:space="preserve">“Casa blanca” de Sierra Gorda de siete millones de dólares </w:t>
      </w:r>
      <w:r w:rsidR="00675C59" w:rsidRPr="00E23BE6">
        <w:rPr>
          <w:rFonts w:ascii="Times New Roman" w:hAnsi="Times New Roman" w:cs="Times New Roman"/>
          <w:sz w:val="22"/>
          <w:szCs w:val="22"/>
        </w:rPr>
        <w:t>construida por Ingeniería Inmobiliaria del Centro, de Grupo Higa, adquirida por la Primera dama en condiciones distintas de mercado</w:t>
      </w:r>
      <w:r w:rsidRPr="00E23BE6">
        <w:rPr>
          <w:rFonts w:ascii="Times New Roman" w:hAnsi="Times New Roman" w:cs="Times New Roman"/>
          <w:sz w:val="22"/>
          <w:szCs w:val="22"/>
        </w:rPr>
        <w:t>,</w:t>
      </w:r>
      <w:r w:rsidR="009203E5" w:rsidRPr="00E23BE6">
        <w:rPr>
          <w:rStyle w:val="Refdenotaalpie"/>
          <w:rFonts w:ascii="Times New Roman" w:hAnsi="Times New Roman" w:cs="Times New Roman"/>
          <w:sz w:val="22"/>
          <w:szCs w:val="22"/>
        </w:rPr>
        <w:footnoteReference w:id="2"/>
      </w:r>
      <w:r w:rsidRPr="00E23BE6">
        <w:rPr>
          <w:rFonts w:ascii="Times New Roman" w:hAnsi="Times New Roman" w:cs="Times New Roman"/>
          <w:sz w:val="22"/>
          <w:szCs w:val="22"/>
        </w:rPr>
        <w:t xml:space="preserve"> c) </w:t>
      </w:r>
      <w:r w:rsidR="00675C59" w:rsidRPr="00E23BE6">
        <w:rPr>
          <w:rFonts w:ascii="Times New Roman" w:hAnsi="Times New Roman" w:cs="Times New Roman"/>
          <w:sz w:val="22"/>
          <w:szCs w:val="22"/>
        </w:rPr>
        <w:t xml:space="preserve">las </w:t>
      </w:r>
      <w:r w:rsidR="00ED4A23" w:rsidRPr="00E23BE6">
        <w:rPr>
          <w:rFonts w:ascii="Times New Roman" w:hAnsi="Times New Roman" w:cs="Times New Roman"/>
          <w:sz w:val="22"/>
          <w:szCs w:val="22"/>
        </w:rPr>
        <w:t>contrataciones millonarias desde la administración como Gobernador del Estado de México del ahora Presidente de la República</w:t>
      </w:r>
      <w:r w:rsidR="00675C59" w:rsidRPr="00E23BE6">
        <w:rPr>
          <w:rFonts w:ascii="Times New Roman" w:hAnsi="Times New Roman" w:cs="Times New Roman"/>
          <w:sz w:val="22"/>
          <w:szCs w:val="22"/>
        </w:rPr>
        <w:t>, como la ampliación de la vialidad Las Torres, de Zinacantepec a San Mateo Atenco de la entidad mexiquense concesionadas a Constructora Teya como parte del consorcio Promotora de Desarrollo de México por 250 millones de pesos, o el hospital de alta especialidad de Zumpang</w:t>
      </w:r>
      <w:r w:rsidR="00421A0B" w:rsidRPr="00E23BE6">
        <w:rPr>
          <w:rFonts w:ascii="Times New Roman" w:hAnsi="Times New Roman" w:cs="Times New Roman"/>
          <w:sz w:val="22"/>
          <w:szCs w:val="22"/>
        </w:rPr>
        <w:t>o, concesionada a IGSA, por</w:t>
      </w:r>
      <w:r w:rsidR="00675C59" w:rsidRPr="00E23BE6">
        <w:rPr>
          <w:rFonts w:ascii="Times New Roman" w:hAnsi="Times New Roman" w:cs="Times New Roman"/>
          <w:sz w:val="22"/>
          <w:szCs w:val="22"/>
        </w:rPr>
        <w:t xml:space="preserve"> 700 millones</w:t>
      </w:r>
      <w:r w:rsidR="009622C2" w:rsidRPr="00E23BE6">
        <w:rPr>
          <w:rStyle w:val="Refdenotaalpie"/>
          <w:rFonts w:ascii="Times New Roman" w:hAnsi="Times New Roman" w:cs="Times New Roman"/>
          <w:sz w:val="22"/>
          <w:szCs w:val="22"/>
        </w:rPr>
        <w:footnoteReference w:id="3"/>
      </w:r>
      <w:r w:rsidR="00421A0B" w:rsidRPr="00E23BE6">
        <w:rPr>
          <w:rFonts w:ascii="Times New Roman" w:hAnsi="Times New Roman" w:cs="Times New Roman"/>
          <w:sz w:val="22"/>
          <w:szCs w:val="22"/>
        </w:rPr>
        <w:t xml:space="preserve"> y d</w:t>
      </w:r>
      <w:r w:rsidR="00675C59" w:rsidRPr="00E23BE6">
        <w:rPr>
          <w:rFonts w:ascii="Times New Roman" w:hAnsi="Times New Roman" w:cs="Times New Roman"/>
          <w:sz w:val="22"/>
          <w:szCs w:val="22"/>
        </w:rPr>
        <w:t>) que en estas transacciones mencionadas participa el empresario Juan Armando Hinojosa Cantú, que guarda relación personal con el Pr</w:t>
      </w:r>
      <w:r w:rsidR="00421A0B" w:rsidRPr="00E23BE6">
        <w:rPr>
          <w:rFonts w:ascii="Times New Roman" w:hAnsi="Times New Roman" w:cs="Times New Roman"/>
          <w:sz w:val="22"/>
          <w:szCs w:val="22"/>
        </w:rPr>
        <w:t>esidente de la República,</w:t>
      </w:r>
      <w:r w:rsidR="009622C2" w:rsidRPr="00E23BE6">
        <w:rPr>
          <w:rFonts w:ascii="Times New Roman" w:hAnsi="Times New Roman" w:cs="Times New Roman"/>
          <w:sz w:val="22"/>
          <w:szCs w:val="22"/>
        </w:rPr>
        <w:t xml:space="preserve"> nos deja un hilo conductor de sospecha, que debe ser esclarecido al pueblo mexicano y que deben investigar las autoridades competentes. </w:t>
      </w:r>
    </w:p>
    <w:p w:rsidR="00421A0B" w:rsidRPr="00E23BE6" w:rsidRDefault="00421A0B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2972" w:rsidRPr="00E23BE6" w:rsidRDefault="004A4CC8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 xml:space="preserve">Cuando se observa la relación personal entre un empresario y un servidor público </w:t>
      </w:r>
      <w:r w:rsidR="0079092A" w:rsidRPr="00E23BE6">
        <w:rPr>
          <w:rFonts w:ascii="Times New Roman" w:hAnsi="Times New Roman" w:cs="Times New Roman"/>
          <w:sz w:val="22"/>
          <w:szCs w:val="22"/>
        </w:rPr>
        <w:t>o se percibe algún beneficio para</w:t>
      </w:r>
      <w:r w:rsidRPr="00E23BE6">
        <w:rPr>
          <w:rFonts w:ascii="Times New Roman" w:hAnsi="Times New Roman" w:cs="Times New Roman"/>
          <w:sz w:val="22"/>
          <w:szCs w:val="22"/>
        </w:rPr>
        <w:t xml:space="preserve"> alguna de las </w:t>
      </w:r>
      <w:r w:rsidR="0079092A" w:rsidRPr="00E23BE6">
        <w:rPr>
          <w:rFonts w:ascii="Times New Roman" w:hAnsi="Times New Roman" w:cs="Times New Roman"/>
          <w:sz w:val="22"/>
          <w:szCs w:val="22"/>
        </w:rPr>
        <w:t>partes</w:t>
      </w:r>
      <w:r w:rsidRPr="00E23BE6">
        <w:rPr>
          <w:rFonts w:ascii="Times New Roman" w:hAnsi="Times New Roman" w:cs="Times New Roman"/>
          <w:sz w:val="22"/>
          <w:szCs w:val="22"/>
        </w:rPr>
        <w:t xml:space="preserve"> en virtud de la relación, se corre el riesgo de incurrir en conflicto de interés. </w:t>
      </w:r>
      <w:r w:rsidR="00E02972" w:rsidRPr="00E23BE6">
        <w:rPr>
          <w:rFonts w:ascii="Times New Roman" w:hAnsi="Times New Roman" w:cs="Times New Roman"/>
          <w:sz w:val="22"/>
          <w:szCs w:val="22"/>
        </w:rPr>
        <w:t xml:space="preserve">“El conflicto de intereses surge cuando una persona con una responsabilidad formal </w:t>
      </w:r>
      <w:r w:rsidR="002A2793" w:rsidRPr="00E23BE6">
        <w:rPr>
          <w:rFonts w:ascii="Times New Roman" w:hAnsi="Times New Roman" w:cs="Times New Roman"/>
          <w:sz w:val="22"/>
          <w:szCs w:val="22"/>
        </w:rPr>
        <w:t xml:space="preserve">de servicio público </w:t>
      </w:r>
      <w:r w:rsidR="00E02972" w:rsidRPr="00E23BE6">
        <w:rPr>
          <w:rFonts w:ascii="Times New Roman" w:hAnsi="Times New Roman" w:cs="Times New Roman"/>
          <w:sz w:val="22"/>
          <w:szCs w:val="22"/>
        </w:rPr>
        <w:t>participa en una actividad que pone e</w:t>
      </w:r>
      <w:r w:rsidRPr="00E23BE6">
        <w:rPr>
          <w:rFonts w:ascii="Times New Roman" w:hAnsi="Times New Roman" w:cs="Times New Roman"/>
          <w:sz w:val="22"/>
          <w:szCs w:val="22"/>
        </w:rPr>
        <w:t>n peligro su juicio profesion</w:t>
      </w:r>
      <w:r w:rsidR="009203E5" w:rsidRPr="00E23BE6">
        <w:rPr>
          <w:rFonts w:ascii="Times New Roman" w:hAnsi="Times New Roman" w:cs="Times New Roman"/>
          <w:sz w:val="22"/>
          <w:szCs w:val="22"/>
        </w:rPr>
        <w:t>al, objetividad e independencia</w:t>
      </w:r>
      <w:r w:rsidRPr="00E23BE6">
        <w:rPr>
          <w:rFonts w:ascii="Times New Roman" w:hAnsi="Times New Roman" w:cs="Times New Roman"/>
          <w:sz w:val="22"/>
          <w:szCs w:val="22"/>
        </w:rPr>
        <w:t xml:space="preserve"> [</w:t>
      </w:r>
      <w:proofErr w:type="gramStart"/>
      <w:r w:rsidRPr="00E23BE6">
        <w:rPr>
          <w:rFonts w:ascii="Times New Roman" w:hAnsi="Times New Roman" w:cs="Times New Roman"/>
          <w:sz w:val="22"/>
          <w:szCs w:val="22"/>
        </w:rPr>
        <w:t>… ]</w:t>
      </w:r>
      <w:proofErr w:type="gramEnd"/>
      <w:r w:rsidR="00E02972" w:rsidRPr="00E23BE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2972" w:rsidRPr="00E23BE6">
        <w:rPr>
          <w:rFonts w:ascii="Times New Roman" w:hAnsi="Times New Roman" w:cs="Times New Roman"/>
          <w:sz w:val="22"/>
          <w:szCs w:val="22"/>
        </w:rPr>
        <w:t>sirve</w:t>
      </w:r>
      <w:proofErr w:type="gramEnd"/>
      <w:r w:rsidR="00E02972" w:rsidRPr="00E23BE6">
        <w:rPr>
          <w:rFonts w:ascii="Times New Roman" w:hAnsi="Times New Roman" w:cs="Times New Roman"/>
          <w:sz w:val="22"/>
          <w:szCs w:val="22"/>
        </w:rPr>
        <w:t xml:space="preserve"> principalmente a los intereses personales y puede influir </w:t>
      </w:r>
      <w:r w:rsidR="002A2793" w:rsidRPr="00E23BE6">
        <w:rPr>
          <w:rFonts w:ascii="Times New Roman" w:hAnsi="Times New Roman" w:cs="Times New Roman"/>
          <w:sz w:val="22"/>
          <w:szCs w:val="22"/>
        </w:rPr>
        <w:t xml:space="preserve">potencialmente </w:t>
      </w:r>
      <w:r w:rsidR="00E02972" w:rsidRPr="00E23BE6">
        <w:rPr>
          <w:rFonts w:ascii="Times New Roman" w:hAnsi="Times New Roman" w:cs="Times New Roman"/>
          <w:sz w:val="22"/>
          <w:szCs w:val="22"/>
        </w:rPr>
        <w:t>en el ejercicio objetivo de sus deberes</w:t>
      </w:r>
      <w:r w:rsidRPr="00E23BE6">
        <w:rPr>
          <w:rFonts w:ascii="Times New Roman" w:hAnsi="Times New Roman" w:cs="Times New Roman"/>
          <w:sz w:val="22"/>
          <w:szCs w:val="22"/>
        </w:rPr>
        <w:t>”.</w:t>
      </w:r>
      <w:r w:rsidR="009203E5" w:rsidRPr="00E23BE6">
        <w:rPr>
          <w:rStyle w:val="Refdenotaalpie"/>
          <w:rFonts w:ascii="Times New Roman" w:hAnsi="Times New Roman" w:cs="Times New Roman"/>
          <w:sz w:val="22"/>
          <w:szCs w:val="22"/>
        </w:rPr>
        <w:footnoteReference w:id="4"/>
      </w:r>
    </w:p>
    <w:p w:rsidR="00E02972" w:rsidRPr="00E23BE6" w:rsidRDefault="00E02972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2972" w:rsidRPr="00E23BE6" w:rsidRDefault="00421A0B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 xml:space="preserve">La figura jurídica de “conflicto de interés” es una herramienta de carácter preventivo que tenemos los servidores púbicos </w:t>
      </w:r>
      <w:r w:rsidR="006E1DB8" w:rsidRPr="00E23BE6">
        <w:rPr>
          <w:rFonts w:ascii="Times New Roman" w:hAnsi="Times New Roman" w:cs="Times New Roman"/>
          <w:sz w:val="22"/>
          <w:szCs w:val="22"/>
        </w:rPr>
        <w:t xml:space="preserve">para evitar </w:t>
      </w:r>
      <w:r w:rsidRPr="00E23BE6">
        <w:rPr>
          <w:rFonts w:ascii="Times New Roman" w:hAnsi="Times New Roman" w:cs="Times New Roman"/>
          <w:sz w:val="22"/>
          <w:szCs w:val="22"/>
        </w:rPr>
        <w:t>incurrir en corrupción. Es la facultad de advertir una situación de riesgo y</w:t>
      </w:r>
      <w:r w:rsidR="00E02972" w:rsidRPr="00E23BE6">
        <w:rPr>
          <w:rFonts w:ascii="Times New Roman" w:hAnsi="Times New Roman" w:cs="Times New Roman"/>
          <w:sz w:val="22"/>
          <w:szCs w:val="22"/>
        </w:rPr>
        <w:t>, conforme a la ética pública,</w:t>
      </w:r>
      <w:r w:rsidRPr="00E23BE6">
        <w:rPr>
          <w:rFonts w:ascii="Times New Roman" w:hAnsi="Times New Roman" w:cs="Times New Roman"/>
          <w:sz w:val="22"/>
          <w:szCs w:val="22"/>
        </w:rPr>
        <w:t xml:space="preserve"> tomar la decisión de no incurrir en algún ilícito</w:t>
      </w:r>
      <w:r w:rsidR="00E02972" w:rsidRPr="00E23BE6">
        <w:rPr>
          <w:rFonts w:ascii="Times New Roman" w:hAnsi="Times New Roman" w:cs="Times New Roman"/>
          <w:sz w:val="22"/>
          <w:szCs w:val="22"/>
        </w:rPr>
        <w:t>. La Ley Federal de Responsabilidades Administrativas de los Servidores Públicos estable</w:t>
      </w:r>
      <w:r w:rsidR="0079092A" w:rsidRPr="00E23BE6">
        <w:rPr>
          <w:rFonts w:ascii="Times New Roman" w:hAnsi="Times New Roman" w:cs="Times New Roman"/>
          <w:sz w:val="22"/>
          <w:szCs w:val="22"/>
        </w:rPr>
        <w:t>ce dicha decisión como un deber.</w:t>
      </w:r>
    </w:p>
    <w:p w:rsidR="00E02972" w:rsidRPr="00E23BE6" w:rsidRDefault="00E02972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2972" w:rsidRPr="00E23BE6" w:rsidRDefault="00E02972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>El artículo 8, fracción XI establece la obligación para los servidores públicos de “[e]</w:t>
      </w:r>
      <w:proofErr w:type="spellStart"/>
      <w:r w:rsidRPr="00E23BE6">
        <w:rPr>
          <w:rFonts w:ascii="Times New Roman" w:hAnsi="Times New Roman" w:cs="Times New Roman"/>
          <w:sz w:val="22"/>
          <w:szCs w:val="22"/>
        </w:rPr>
        <w:t>xcusarse</w:t>
      </w:r>
      <w:proofErr w:type="spellEnd"/>
      <w:r w:rsidRPr="00E23BE6">
        <w:rPr>
          <w:rFonts w:ascii="Times New Roman" w:hAnsi="Times New Roman" w:cs="Times New Roman"/>
          <w:sz w:val="22"/>
          <w:szCs w:val="22"/>
        </w:rPr>
        <w:t xml:space="preserve"> de intervenir, por motivo de su encargo, en cualquier forma en la atención,tramitación o resolución de asuntos en los que tenga interés personal, familiar o de negocios,incluyendo aquéllos de los que pueda resultar algún beneficio para él, su cónyuge o parientesconsanguíneos o por afinidad hasta el cuarto grado, o parientes civiles, o para terceros conlos que tenga relaciones profesionales, laborales o de negocios, o para socios o sociedadesde las que el servidor público o las personas antes referidas formen o hayan formado parte”. El artículo siguiente de la ley prohíbe a los servidores públicos aprovechar su influencia para obtener alguna ventaja derivada de su función, para sí o para las personas mencionadas anteriormente. </w:t>
      </w:r>
    </w:p>
    <w:p w:rsidR="00421A0B" w:rsidRPr="00E23BE6" w:rsidRDefault="00421A0B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6C7B" w:rsidRPr="00E23BE6" w:rsidRDefault="009203E5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>I</w:t>
      </w:r>
      <w:r w:rsidR="0079092A" w:rsidRPr="00E23BE6">
        <w:rPr>
          <w:rFonts w:ascii="Times New Roman" w:hAnsi="Times New Roman" w:cs="Times New Roman"/>
          <w:sz w:val="22"/>
          <w:szCs w:val="22"/>
        </w:rPr>
        <w:t>ncurrir en conflicto de interés</w:t>
      </w:r>
      <w:r w:rsidRPr="00E23BE6">
        <w:rPr>
          <w:rFonts w:ascii="Times New Roman" w:hAnsi="Times New Roman" w:cs="Times New Roman"/>
          <w:sz w:val="22"/>
          <w:szCs w:val="22"/>
        </w:rPr>
        <w:t xml:space="preserve"> es la antesala a la comisión de algún acto de corrupción. Es por ello, que </w:t>
      </w:r>
      <w:r w:rsidR="00AD362E" w:rsidRPr="00E23BE6">
        <w:rPr>
          <w:rFonts w:ascii="Times New Roman" w:hAnsi="Times New Roman" w:cs="Times New Roman"/>
          <w:sz w:val="22"/>
          <w:szCs w:val="22"/>
        </w:rPr>
        <w:t>la Secretaría de la Función P</w:t>
      </w:r>
      <w:r w:rsidRPr="00E23BE6">
        <w:rPr>
          <w:rFonts w:ascii="Times New Roman" w:hAnsi="Times New Roman" w:cs="Times New Roman"/>
          <w:sz w:val="22"/>
          <w:szCs w:val="22"/>
        </w:rPr>
        <w:t xml:space="preserve">ública </w:t>
      </w:r>
      <w:r w:rsidR="00AD362E" w:rsidRPr="00E23BE6">
        <w:rPr>
          <w:rFonts w:ascii="Times New Roman" w:hAnsi="Times New Roman" w:cs="Times New Roman"/>
          <w:sz w:val="22"/>
          <w:szCs w:val="22"/>
        </w:rPr>
        <w:t xml:space="preserve">(SFP) tiene </w:t>
      </w:r>
      <w:r w:rsidR="00151FA5" w:rsidRPr="00E23BE6">
        <w:rPr>
          <w:rFonts w:ascii="Times New Roman" w:hAnsi="Times New Roman" w:cs="Times New Roman"/>
          <w:sz w:val="22"/>
          <w:szCs w:val="22"/>
        </w:rPr>
        <w:t xml:space="preserve">el deber de investigar los puntos mencionados. La SFP tiene la </w:t>
      </w:r>
      <w:r w:rsidR="00151FA5" w:rsidRPr="00E23BE6">
        <w:rPr>
          <w:rFonts w:ascii="Times New Roman" w:hAnsi="Times New Roman" w:cs="Times New Roman"/>
          <w:sz w:val="22"/>
          <w:szCs w:val="22"/>
        </w:rPr>
        <w:lastRenderedPageBreak/>
        <w:t xml:space="preserve">oportunidad y la obligación al mismo tiempo de probar que, aunque sea una </w:t>
      </w:r>
      <w:r w:rsidR="00151FA5" w:rsidRPr="00E23BE6">
        <w:rPr>
          <w:rFonts w:ascii="Times New Roman" w:hAnsi="Times New Roman" w:cs="Times New Roman"/>
          <w:i/>
          <w:sz w:val="22"/>
          <w:szCs w:val="22"/>
        </w:rPr>
        <w:t>dependencia</w:t>
      </w:r>
      <w:r w:rsidR="00151FA5" w:rsidRPr="00E23BE6">
        <w:rPr>
          <w:rFonts w:ascii="Times New Roman" w:hAnsi="Times New Roman" w:cs="Times New Roman"/>
          <w:sz w:val="22"/>
          <w:szCs w:val="22"/>
        </w:rPr>
        <w:t xml:space="preserve"> de la Administración Pública Federal, las instituciones en este país funcionan. Que se puede dar un</w:t>
      </w:r>
      <w:r w:rsidR="00846C7B" w:rsidRPr="00E23BE6">
        <w:rPr>
          <w:rFonts w:ascii="Times New Roman" w:hAnsi="Times New Roman" w:cs="Times New Roman"/>
          <w:sz w:val="22"/>
          <w:szCs w:val="22"/>
        </w:rPr>
        <w:t xml:space="preserve"> cauce efectivo a la investigación y, en su caso, cuando así proceda, a las sanciones correspondientes.</w:t>
      </w:r>
    </w:p>
    <w:p w:rsidR="00846C7B" w:rsidRPr="00E23BE6" w:rsidRDefault="00846C7B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F4E77" w:rsidRPr="00E23BE6" w:rsidRDefault="00846C7B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 xml:space="preserve">La Secretaría asume como sus funciones las siguientes: “vigila </w:t>
      </w:r>
      <w:r w:rsidR="00151FA5" w:rsidRPr="00E23BE6">
        <w:rPr>
          <w:rFonts w:ascii="Times New Roman" w:hAnsi="Times New Roman" w:cs="Times New Roman"/>
          <w:sz w:val="22"/>
          <w:szCs w:val="22"/>
        </w:rPr>
        <w:t>que los servidores públicos federales se apeguen a la legalidad durante el ejercicio de sus funciones, sanciona a los que no lo hacen así; promueve el cumplimiento de los procesos de control y fiscalización del gobierno federal, de disposiciones legales en diversas materias, dirige y determina la política de compras públicas de la Federación, coordina y realiza auditorías sobre el gasto de recursos federales</w:t>
      </w:r>
      <w:r w:rsidR="0079092A" w:rsidRPr="00E23BE6">
        <w:rPr>
          <w:rFonts w:ascii="Times New Roman" w:hAnsi="Times New Roman" w:cs="Times New Roman"/>
          <w:sz w:val="22"/>
          <w:szCs w:val="22"/>
        </w:rPr>
        <w:t xml:space="preserve"> (</w:t>
      </w:r>
      <w:r w:rsidRPr="00E23BE6">
        <w:rPr>
          <w:rFonts w:ascii="Times New Roman" w:hAnsi="Times New Roman" w:cs="Times New Roman"/>
          <w:sz w:val="22"/>
          <w:szCs w:val="22"/>
        </w:rPr>
        <w:t>…</w:t>
      </w:r>
      <w:r w:rsidR="0079092A" w:rsidRPr="00E23BE6">
        <w:rPr>
          <w:rFonts w:ascii="Times New Roman" w:hAnsi="Times New Roman" w:cs="Times New Roman"/>
          <w:sz w:val="22"/>
          <w:szCs w:val="22"/>
        </w:rPr>
        <w:t>)</w:t>
      </w:r>
      <w:r w:rsidRPr="00E23BE6">
        <w:rPr>
          <w:rFonts w:ascii="Times New Roman" w:hAnsi="Times New Roman" w:cs="Times New Roman"/>
          <w:sz w:val="22"/>
          <w:szCs w:val="22"/>
        </w:rPr>
        <w:t xml:space="preserve">, </w:t>
      </w:r>
      <w:r w:rsidR="00151FA5" w:rsidRPr="00E23BE6">
        <w:rPr>
          <w:rFonts w:ascii="Times New Roman" w:hAnsi="Times New Roman" w:cs="Times New Roman"/>
          <w:sz w:val="22"/>
          <w:szCs w:val="22"/>
        </w:rPr>
        <w:t>coordina la labor de los órganos internos de control en cada dependencia del gobierno federal y evalúa la gestión de las entidades, también a nivel federal</w:t>
      </w:r>
      <w:r w:rsidRPr="00E23BE6">
        <w:rPr>
          <w:rFonts w:ascii="Times New Roman" w:hAnsi="Times New Roman" w:cs="Times New Roman"/>
          <w:sz w:val="22"/>
          <w:szCs w:val="22"/>
        </w:rPr>
        <w:t>”</w:t>
      </w:r>
      <w:r w:rsidR="00151FA5" w:rsidRPr="00E23BE6">
        <w:rPr>
          <w:rFonts w:ascii="Times New Roman" w:hAnsi="Times New Roman" w:cs="Times New Roman"/>
          <w:sz w:val="22"/>
          <w:szCs w:val="22"/>
        </w:rPr>
        <w:t>.</w:t>
      </w:r>
      <w:r w:rsidR="0079092A" w:rsidRPr="00E23BE6">
        <w:rPr>
          <w:rFonts w:ascii="Times New Roman" w:hAnsi="Times New Roman" w:cs="Times New Roman"/>
          <w:sz w:val="22"/>
          <w:szCs w:val="22"/>
        </w:rPr>
        <w:t>L</w:t>
      </w:r>
      <w:r w:rsidRPr="00E23BE6">
        <w:rPr>
          <w:rFonts w:ascii="Times New Roman" w:hAnsi="Times New Roman" w:cs="Times New Roman"/>
          <w:sz w:val="22"/>
          <w:szCs w:val="22"/>
        </w:rPr>
        <w:t>a</w:t>
      </w:r>
      <w:r w:rsidR="00E14A18" w:rsidRPr="00E23BE6">
        <w:rPr>
          <w:rFonts w:ascii="Times New Roman" w:hAnsi="Times New Roman" w:cs="Times New Roman"/>
          <w:sz w:val="22"/>
          <w:szCs w:val="22"/>
        </w:rPr>
        <w:t xml:space="preserve"> SFP</w:t>
      </w:r>
      <w:r w:rsidR="0079092A" w:rsidRPr="00E23BE6">
        <w:rPr>
          <w:rFonts w:ascii="Times New Roman" w:hAnsi="Times New Roman" w:cs="Times New Roman"/>
          <w:sz w:val="22"/>
          <w:szCs w:val="22"/>
        </w:rPr>
        <w:t xml:space="preserve"> está ante la oportunidad histórica de</w:t>
      </w:r>
      <w:r w:rsidR="00E14A18" w:rsidRPr="00E23BE6">
        <w:rPr>
          <w:rFonts w:ascii="Times New Roman" w:hAnsi="Times New Roman" w:cs="Times New Roman"/>
          <w:sz w:val="22"/>
          <w:szCs w:val="22"/>
        </w:rPr>
        <w:t xml:space="preserve"> cumplir con </w:t>
      </w:r>
      <w:r w:rsidR="0079092A" w:rsidRPr="00E23BE6">
        <w:rPr>
          <w:rFonts w:ascii="Times New Roman" w:hAnsi="Times New Roman" w:cs="Times New Roman"/>
          <w:sz w:val="22"/>
          <w:szCs w:val="22"/>
        </w:rPr>
        <w:t>el</w:t>
      </w:r>
      <w:r w:rsidR="00E14A18" w:rsidRPr="00E23BE6">
        <w:rPr>
          <w:rFonts w:ascii="Times New Roman" w:hAnsi="Times New Roman" w:cs="Times New Roman"/>
          <w:sz w:val="22"/>
          <w:szCs w:val="22"/>
        </w:rPr>
        <w:t xml:space="preserve"> objeto de verificar la legalidad de las contrataciones públicas realizadas por la Administración Pública Federal y el señor Juan Armando Hinojosa </w:t>
      </w:r>
      <w:r w:rsidR="0079092A" w:rsidRPr="00E23BE6">
        <w:rPr>
          <w:rFonts w:ascii="Times New Roman" w:hAnsi="Times New Roman" w:cs="Times New Roman"/>
          <w:sz w:val="22"/>
          <w:szCs w:val="22"/>
        </w:rPr>
        <w:t>Cantú, a través de sus empresas</w:t>
      </w:r>
      <w:r w:rsidRPr="00E23BE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F4E77" w:rsidRPr="00E23BE6" w:rsidRDefault="007F4E77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1FA5" w:rsidRPr="00E23BE6" w:rsidRDefault="0079092A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>Otro tema que ha generado polémica es la cancelación de la licitación del tren México-Querétaro. Según el artículo 40 de la Ley de Obra Pública y Servicios Relacionados con las mismas, cuando se cancele una licitación se deberá cubrir a los licitantes “los gastos no recuperables”</w:t>
      </w:r>
      <w:r w:rsidR="007200B6" w:rsidRPr="00E23BE6">
        <w:rPr>
          <w:rFonts w:ascii="Times New Roman" w:hAnsi="Times New Roman" w:cs="Times New Roman"/>
          <w:sz w:val="22"/>
          <w:szCs w:val="22"/>
        </w:rPr>
        <w:t>.</w:t>
      </w:r>
      <w:r w:rsidRPr="00E23BE6">
        <w:rPr>
          <w:rFonts w:ascii="Times New Roman" w:hAnsi="Times New Roman" w:cs="Times New Roman"/>
          <w:sz w:val="22"/>
          <w:szCs w:val="22"/>
        </w:rPr>
        <w:t xml:space="preserve"> Estos gastos</w:t>
      </w:r>
      <w:r w:rsidR="00A51734" w:rsidRPr="00E23BE6">
        <w:rPr>
          <w:rFonts w:ascii="Times New Roman" w:hAnsi="Times New Roman" w:cs="Times New Roman"/>
          <w:sz w:val="22"/>
          <w:szCs w:val="22"/>
        </w:rPr>
        <w:t xml:space="preserve"> se estiman por el consorcio ganador en 590 millones de pesos.</w:t>
      </w:r>
      <w:r w:rsidR="00A51734" w:rsidRPr="00E23BE6">
        <w:rPr>
          <w:rStyle w:val="Refdenotaalpie"/>
          <w:rFonts w:ascii="Times New Roman" w:hAnsi="Times New Roman" w:cs="Times New Roman"/>
          <w:sz w:val="22"/>
          <w:szCs w:val="22"/>
        </w:rPr>
        <w:footnoteReference w:id="5"/>
      </w:r>
      <w:r w:rsidR="00014C53" w:rsidRPr="00E23BE6">
        <w:rPr>
          <w:rFonts w:ascii="Times New Roman" w:hAnsi="Times New Roman" w:cs="Times New Roman"/>
          <w:sz w:val="22"/>
          <w:szCs w:val="22"/>
        </w:rPr>
        <w:t xml:space="preserve">Esto supone una afectación en el patrimonio de los mexicanos </w:t>
      </w:r>
      <w:r w:rsidR="007200B6" w:rsidRPr="00E23BE6">
        <w:rPr>
          <w:rFonts w:ascii="Times New Roman" w:hAnsi="Times New Roman" w:cs="Times New Roman"/>
          <w:sz w:val="22"/>
          <w:szCs w:val="22"/>
        </w:rPr>
        <w:t>en</w:t>
      </w:r>
      <w:r w:rsidR="00014C53" w:rsidRPr="00E23BE6">
        <w:rPr>
          <w:rFonts w:ascii="Times New Roman" w:hAnsi="Times New Roman" w:cs="Times New Roman"/>
          <w:sz w:val="22"/>
          <w:szCs w:val="22"/>
        </w:rPr>
        <w:t xml:space="preserve"> detrimento de un mejor uso de los recursos que </w:t>
      </w:r>
      <w:r w:rsidR="007200B6" w:rsidRPr="00E23BE6">
        <w:rPr>
          <w:rFonts w:ascii="Times New Roman" w:hAnsi="Times New Roman" w:cs="Times New Roman"/>
          <w:sz w:val="22"/>
          <w:szCs w:val="22"/>
        </w:rPr>
        <w:t>podrían destinarse a programas sociales y</w:t>
      </w:r>
      <w:r w:rsidR="00014C53" w:rsidRPr="00E23BE6">
        <w:rPr>
          <w:rFonts w:ascii="Times New Roman" w:hAnsi="Times New Roman" w:cs="Times New Roman"/>
          <w:sz w:val="22"/>
          <w:szCs w:val="22"/>
        </w:rPr>
        <w:t xml:space="preserve"> también de</w:t>
      </w:r>
      <w:r w:rsidR="000C0EB3" w:rsidRPr="00E23BE6">
        <w:rPr>
          <w:rFonts w:ascii="Times New Roman" w:hAnsi="Times New Roman" w:cs="Times New Roman"/>
          <w:sz w:val="22"/>
          <w:szCs w:val="22"/>
        </w:rPr>
        <w:t>sde el punto de vista económico e internacional, pues se generó</w:t>
      </w:r>
      <w:r w:rsidR="00014C53" w:rsidRPr="00E23BE6">
        <w:rPr>
          <w:rFonts w:ascii="Times New Roman" w:hAnsi="Times New Roman" w:cs="Times New Roman"/>
          <w:sz w:val="22"/>
          <w:szCs w:val="22"/>
        </w:rPr>
        <w:t xml:space="preserve"> incertidumbre para la inversión en México. La confianza se perdió en más de una manera. Los mexicanos no podemos seguir pagando las consecuencias de decisiones de dudosa ética pública, México </w:t>
      </w:r>
      <w:r w:rsidR="00846C7B" w:rsidRPr="00E23BE6">
        <w:rPr>
          <w:rFonts w:ascii="Times New Roman" w:hAnsi="Times New Roman" w:cs="Times New Roman"/>
          <w:sz w:val="22"/>
          <w:szCs w:val="22"/>
        </w:rPr>
        <w:t xml:space="preserve">merece funcionarios públicos de la más alta calidad, </w:t>
      </w:r>
      <w:r w:rsidR="00A51734" w:rsidRPr="00E23BE6">
        <w:rPr>
          <w:rFonts w:ascii="Times New Roman" w:hAnsi="Times New Roman" w:cs="Times New Roman"/>
          <w:sz w:val="22"/>
          <w:szCs w:val="22"/>
        </w:rPr>
        <w:t>un gobierno con ética, que vea por los intereses de los ciudadanos y no de los propios</w:t>
      </w:r>
      <w:r w:rsidR="00014C53" w:rsidRPr="00E23BE6">
        <w:rPr>
          <w:rFonts w:ascii="Times New Roman" w:hAnsi="Times New Roman" w:cs="Times New Roman"/>
          <w:sz w:val="22"/>
          <w:szCs w:val="22"/>
        </w:rPr>
        <w:t>, un gobierno transparente en el que pueda confiar.</w:t>
      </w:r>
    </w:p>
    <w:p w:rsidR="007200B6" w:rsidRPr="00E23BE6" w:rsidRDefault="007200B6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200B6" w:rsidRPr="00E23BE6" w:rsidRDefault="007200B6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>Para abonar a la confianza que han depositado los ciudadanos en sus gobernantes, en el Congreso de la Unión estamos impulsando la transparencia, la rendición de cuentas y el combate a la corrupción. Y, en congruencia, presento este Punto de Acuerdo para cerrar la puerta a la opacidad y evitar a toda costa la impunidad.</w:t>
      </w:r>
    </w:p>
    <w:p w:rsidR="007200B6" w:rsidRPr="00E23BE6" w:rsidRDefault="007200B6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1DD3" w:rsidRPr="00E23BE6" w:rsidRDefault="00941DD3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6C7B" w:rsidRPr="00E23BE6" w:rsidRDefault="00846C7B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sz w:val="22"/>
          <w:szCs w:val="22"/>
        </w:rPr>
        <w:t xml:space="preserve">Por lo anterior, se </w:t>
      </w:r>
      <w:r w:rsidR="000C0EB3" w:rsidRPr="00E23BE6">
        <w:rPr>
          <w:rFonts w:ascii="Times New Roman" w:hAnsi="Times New Roman" w:cs="Times New Roman"/>
          <w:sz w:val="22"/>
          <w:szCs w:val="22"/>
        </w:rPr>
        <w:t xml:space="preserve">somete a la consideración de esta Honorable </w:t>
      </w:r>
      <w:r w:rsidR="007200B6" w:rsidRPr="00E23BE6">
        <w:rPr>
          <w:rFonts w:ascii="Times New Roman" w:hAnsi="Times New Roman" w:cs="Times New Roman"/>
          <w:sz w:val="22"/>
          <w:szCs w:val="22"/>
        </w:rPr>
        <w:t>A</w:t>
      </w:r>
      <w:r w:rsidR="000C0EB3" w:rsidRPr="00E23BE6">
        <w:rPr>
          <w:rFonts w:ascii="Times New Roman" w:hAnsi="Times New Roman" w:cs="Times New Roman"/>
          <w:sz w:val="22"/>
          <w:szCs w:val="22"/>
        </w:rPr>
        <w:t xml:space="preserve">samblea </w:t>
      </w:r>
      <w:r w:rsidRPr="00E23BE6">
        <w:rPr>
          <w:rFonts w:ascii="Times New Roman" w:hAnsi="Times New Roman" w:cs="Times New Roman"/>
          <w:sz w:val="22"/>
          <w:szCs w:val="22"/>
        </w:rPr>
        <w:t xml:space="preserve">el siguiente: </w:t>
      </w:r>
    </w:p>
    <w:p w:rsidR="000C0EB3" w:rsidRPr="00E23BE6" w:rsidRDefault="000C0EB3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6C7B" w:rsidRPr="00E23BE6" w:rsidRDefault="00846C7B" w:rsidP="00E23BE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6C7B" w:rsidRPr="00E23BE6" w:rsidRDefault="00846C7B" w:rsidP="00E23BE6">
      <w:pPr>
        <w:jc w:val="center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b/>
          <w:sz w:val="22"/>
          <w:szCs w:val="22"/>
        </w:rPr>
        <w:t>PUNTO DE ACUERDO</w:t>
      </w:r>
    </w:p>
    <w:p w:rsidR="00846C7B" w:rsidRPr="00E23BE6" w:rsidRDefault="00846C7B" w:rsidP="00E23B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1DD3" w:rsidRPr="00E23BE6" w:rsidRDefault="007F4E77" w:rsidP="00E23BE6">
      <w:pPr>
        <w:jc w:val="both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hAnsi="Times New Roman" w:cs="Times New Roman"/>
          <w:b/>
          <w:sz w:val="22"/>
          <w:szCs w:val="22"/>
        </w:rPr>
        <w:t xml:space="preserve">ÚNICO. </w:t>
      </w:r>
      <w:r w:rsidR="00941DD3" w:rsidRPr="00E23BE6">
        <w:rPr>
          <w:rFonts w:ascii="Times New Roman" w:hAnsi="Times New Roman" w:cs="Times New Roman"/>
          <w:sz w:val="22"/>
          <w:szCs w:val="22"/>
        </w:rPr>
        <w:t>La Cámara de Senadores exhorta respetuosamente a la Secretaría de la Función Pública a que rinda un informe pormenorizado sobre las contrataciones que la Administración Pública Federal ha realizado del año 2010 a la fecha con las empresas: Grupo Higa</w:t>
      </w:r>
      <w:r w:rsidR="00941DD3" w:rsidRPr="00E23BE6">
        <w:rPr>
          <w:rFonts w:ascii="Times New Roman" w:hAnsi="Times New Roman" w:cs="Times New Roman"/>
          <w:sz w:val="22"/>
          <w:szCs w:val="22"/>
          <w:lang w:val="es-ES"/>
        </w:rPr>
        <w:t xml:space="preserve">; Constructora Teya;Inmobiliaria del Centro; </w:t>
      </w:r>
      <w:r w:rsidR="00941DD3" w:rsidRPr="00E23BE6">
        <w:rPr>
          <w:rFonts w:ascii="Times New Roman" w:hAnsi="Times New Roman" w:cs="Times New Roman"/>
          <w:sz w:val="22"/>
          <w:szCs w:val="22"/>
        </w:rPr>
        <w:t>Eolo; Publicidad y Artículos Creativos; Autopistas de Vanguardia, S.A. de C.V.; Mezcla Asfáltica de Calidad; Señales y Mantenimiento, S.A. de C.V., y Consorcio IGSA Medical del Perú; así como l</w:t>
      </w:r>
      <w:bookmarkStart w:id="0" w:name="_GoBack"/>
      <w:bookmarkEnd w:id="0"/>
      <w:r w:rsidR="00941DD3" w:rsidRPr="00E23BE6">
        <w:rPr>
          <w:rFonts w:ascii="Times New Roman" w:hAnsi="Times New Roman" w:cs="Times New Roman"/>
          <w:sz w:val="22"/>
          <w:szCs w:val="22"/>
        </w:rPr>
        <w:t>as que tengan el carácter de filiales o subsidiarias de éstas o en las que sea socio o accionista el señor Juan Armando Hinojosa Cantú.</w:t>
      </w:r>
    </w:p>
    <w:p w:rsidR="00941DD3" w:rsidRPr="00E23BE6" w:rsidRDefault="00941DD3" w:rsidP="00E23BE6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2A2793" w:rsidRPr="00E23BE6" w:rsidRDefault="00941DD3" w:rsidP="00E23BE6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>Dicho informe deberá contener al menos, lo siguiente:</w:t>
      </w:r>
    </w:p>
    <w:p w:rsidR="002A2793" w:rsidRPr="00E23BE6" w:rsidRDefault="002A2793" w:rsidP="00E23B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>Procedimientos de contratación llevados a cabo por entidades o dependencias de la Administración Pública Federal, en los que haya participado, ya sean licitaciones públicas, invitaciones a cuando menos tres personas y adjudicaciones directas.</w:t>
      </w:r>
    </w:p>
    <w:p w:rsidR="002A2793" w:rsidRPr="00E23BE6" w:rsidRDefault="002A2793" w:rsidP="00E23B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 xml:space="preserve">Contratos que se hayan derivado de los procedimientos anteriores. </w:t>
      </w:r>
    </w:p>
    <w:p w:rsidR="002A2793" w:rsidRPr="00E23BE6" w:rsidRDefault="002A2793" w:rsidP="00E23B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 xml:space="preserve">En el caso de que se haya tratado de licitaciones públicas: </w:t>
      </w:r>
    </w:p>
    <w:p w:rsidR="002A2793" w:rsidRPr="00E23BE6" w:rsidRDefault="002A2793" w:rsidP="00E23B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 xml:space="preserve">Remitir las constancias del procedimiento: convocatoria o bases, actas de las juntas de aclaraciones, propuestas técnicas y económicas recibidas, dictámenes de evaluación de ofertas, fallo de adjudicación y contrato suscrito. </w:t>
      </w:r>
    </w:p>
    <w:p w:rsidR="002A2793" w:rsidRPr="00E23BE6" w:rsidRDefault="002A2793" w:rsidP="00E23B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Especificar si se contó con testigo social y remitir en su caso el testimonio, o bien justificar la causa por la cual no aplicó dicha figura. </w:t>
      </w:r>
    </w:p>
    <w:p w:rsidR="002A2793" w:rsidRPr="00E23BE6" w:rsidRDefault="002A2793" w:rsidP="00E23B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>Para el caso de que el contrato se haya derivado de algún procedimiento de excepción a la licitación pública:</w:t>
      </w:r>
    </w:p>
    <w:p w:rsidR="002A2793" w:rsidRPr="00E23BE6" w:rsidRDefault="002A2793" w:rsidP="00E23BE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 xml:space="preserve">Justificación técnico jurídico administrativa de cada caso: dictámenes respectivos y  actas de comités correspondientes. </w:t>
      </w:r>
    </w:p>
    <w:p w:rsidR="002A2793" w:rsidRPr="00E23BE6" w:rsidRDefault="002A2793" w:rsidP="00E23BE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 xml:space="preserve">Estudios de mercado realizados previamente a la contratación. </w:t>
      </w:r>
    </w:p>
    <w:p w:rsidR="002A2793" w:rsidRPr="00E23BE6" w:rsidRDefault="002A2793" w:rsidP="00E23BE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>En el caso de que haya sido una invitación a cuando menos tres personas, remitir las constancias del procedimiento: invitación, actas de las juntas de aclaraciones si es que se llevaron a cabo, propuestas técnicas y económicas recibidas, dict</w:t>
      </w:r>
      <w:r w:rsidR="00AD362E" w:rsidRPr="00E23BE6">
        <w:rPr>
          <w:rFonts w:ascii="Times New Roman" w:hAnsi="Times New Roman" w:cs="Times New Roman"/>
          <w:sz w:val="22"/>
          <w:szCs w:val="22"/>
          <w:lang w:val="es-ES"/>
        </w:rPr>
        <w:t>ámenes de evaluación de ofertas y</w:t>
      </w:r>
      <w:r w:rsidRPr="00E23BE6">
        <w:rPr>
          <w:rFonts w:ascii="Times New Roman" w:hAnsi="Times New Roman" w:cs="Times New Roman"/>
          <w:sz w:val="22"/>
          <w:szCs w:val="22"/>
          <w:lang w:val="es-ES"/>
        </w:rPr>
        <w:t xml:space="preserve"> fallo de adjudicación</w:t>
      </w:r>
      <w:r w:rsidR="00AD362E" w:rsidRPr="00E23BE6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2A2793" w:rsidRPr="00E23BE6" w:rsidRDefault="002A2793" w:rsidP="00E23B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 xml:space="preserve">De los procedimientos y contratos anteriores: </w:t>
      </w:r>
    </w:p>
    <w:p w:rsidR="002A2793" w:rsidRPr="00E23BE6" w:rsidRDefault="002A2793" w:rsidP="00E23BE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23BE6">
        <w:rPr>
          <w:rFonts w:ascii="Times New Roman" w:hAnsi="Times New Roman" w:cs="Times New Roman"/>
          <w:sz w:val="22"/>
          <w:szCs w:val="22"/>
          <w:lang w:val="es-ES"/>
        </w:rPr>
        <w:t>Especificar si se han realizado actos de fiscalización y/o control por parte de la SFP o sus órganos internos de control, así como los resultados de los mismos.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411BAF" w:rsidRPr="00E23BE6" w:rsidTr="00411BAF">
        <w:trPr>
          <w:jc w:val="center"/>
        </w:trPr>
        <w:tc>
          <w:tcPr>
            <w:tcW w:w="4489" w:type="dxa"/>
          </w:tcPr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  <w:proofErr w:type="spellStart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>Sen</w:t>
            </w:r>
            <w:proofErr w:type="spellEnd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>. Laura Angélica Rojas Hernández</w:t>
            </w:r>
          </w:p>
        </w:tc>
        <w:tc>
          <w:tcPr>
            <w:tcW w:w="4489" w:type="dxa"/>
          </w:tcPr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  <w:proofErr w:type="spellStart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>Sen</w:t>
            </w:r>
            <w:proofErr w:type="spellEnd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>. Dolores Padierna Luna</w:t>
            </w:r>
          </w:p>
        </w:tc>
      </w:tr>
      <w:tr w:rsidR="00411BAF" w:rsidRPr="00E23BE6" w:rsidTr="00411BAF">
        <w:trPr>
          <w:jc w:val="center"/>
        </w:trPr>
        <w:tc>
          <w:tcPr>
            <w:tcW w:w="4489" w:type="dxa"/>
          </w:tcPr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  <w:proofErr w:type="spellStart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>Sen</w:t>
            </w:r>
            <w:proofErr w:type="spellEnd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 xml:space="preserve">. María Marcela Torres </w:t>
            </w:r>
            <w:proofErr w:type="spellStart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>Peimbert</w:t>
            </w:r>
            <w:proofErr w:type="spellEnd"/>
          </w:p>
        </w:tc>
        <w:tc>
          <w:tcPr>
            <w:tcW w:w="4489" w:type="dxa"/>
          </w:tcPr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  <w:proofErr w:type="spellStart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>Sen</w:t>
            </w:r>
            <w:proofErr w:type="spellEnd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  <w:t>. Daniel Gabriel Ávila Ruiz</w:t>
            </w:r>
          </w:p>
        </w:tc>
      </w:tr>
      <w:tr w:rsidR="00411BAF" w:rsidRPr="00E23BE6" w:rsidTr="00411BAF">
        <w:trPr>
          <w:jc w:val="center"/>
        </w:trPr>
        <w:tc>
          <w:tcPr>
            <w:tcW w:w="4489" w:type="dxa"/>
          </w:tcPr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</w:pPr>
            <w:proofErr w:type="spellStart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  <w:t>Sen</w:t>
            </w:r>
            <w:proofErr w:type="spellEnd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  <w:t>. Alejandro Encinas Rodríguez</w:t>
            </w:r>
          </w:p>
        </w:tc>
        <w:tc>
          <w:tcPr>
            <w:tcW w:w="4489" w:type="dxa"/>
          </w:tcPr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</w:pPr>
          </w:p>
          <w:p w:rsidR="00411BAF" w:rsidRPr="00E23BE6" w:rsidRDefault="00411BAF" w:rsidP="00E23BE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  <w:lang w:val="es-MX"/>
              </w:rPr>
            </w:pPr>
            <w:proofErr w:type="spellStart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  <w:t>Sen</w:t>
            </w:r>
            <w:proofErr w:type="spellEnd"/>
            <w:r w:rsidRPr="00E23BE6">
              <w:rPr>
                <w:rFonts w:ascii="Times New Roman" w:eastAsiaTheme="minorHAnsi" w:hAnsi="Times New Roman" w:cs="Times New Roman"/>
                <w:b/>
                <w:caps/>
                <w:sz w:val="22"/>
                <w:szCs w:val="22"/>
              </w:rPr>
              <w:t>. Isidro Pedraza Chávez,</w:t>
            </w:r>
          </w:p>
        </w:tc>
      </w:tr>
    </w:tbl>
    <w:p w:rsidR="006E1DB8" w:rsidRPr="00E23BE6" w:rsidRDefault="00C75C23" w:rsidP="00E23BE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E23BE6">
        <w:rPr>
          <w:rFonts w:ascii="Times New Roman" w:eastAsia="Calibri" w:hAnsi="Times New Roman" w:cs="Times New Roman"/>
          <w:sz w:val="22"/>
          <w:szCs w:val="22"/>
          <w:lang w:val="es-MX"/>
        </w:rPr>
        <w:t>Senado de la República, 24 de noviembre de 2014.</w:t>
      </w:r>
    </w:p>
    <w:sectPr w:rsidR="006E1DB8" w:rsidRPr="00E23BE6" w:rsidSect="00E23BE6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19" w:rsidRDefault="000C4819" w:rsidP="00C34051">
      <w:r>
        <w:separator/>
      </w:r>
    </w:p>
  </w:endnote>
  <w:endnote w:type="continuationSeparator" w:id="1">
    <w:p w:rsidR="000C4819" w:rsidRDefault="000C4819" w:rsidP="00C3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19" w:rsidRDefault="000C4819" w:rsidP="00C34051">
      <w:r>
        <w:separator/>
      </w:r>
    </w:p>
  </w:footnote>
  <w:footnote w:type="continuationSeparator" w:id="1">
    <w:p w:rsidR="000C4819" w:rsidRDefault="000C4819" w:rsidP="00C34051">
      <w:r>
        <w:continuationSeparator/>
      </w:r>
    </w:p>
  </w:footnote>
  <w:footnote w:id="2">
    <w:p w:rsidR="00014C53" w:rsidRPr="009203E5" w:rsidRDefault="00014C53" w:rsidP="009203E5">
      <w:pPr>
        <w:pStyle w:val="Textonotapie"/>
        <w:jc w:val="both"/>
        <w:rPr>
          <w:rFonts w:ascii="Arial" w:hAnsi="Arial" w:cs="Arial"/>
          <w:sz w:val="20"/>
          <w:szCs w:val="20"/>
        </w:rPr>
      </w:pPr>
      <w:r>
        <w:rPr>
          <w:rStyle w:val="Refdenotaalpie"/>
        </w:rPr>
        <w:footnoteRef/>
      </w:r>
      <w:r w:rsidRPr="009203E5">
        <w:rPr>
          <w:rFonts w:ascii="Arial" w:hAnsi="Arial" w:cs="Arial"/>
          <w:i/>
          <w:sz w:val="20"/>
          <w:szCs w:val="20"/>
        </w:rPr>
        <w:t xml:space="preserve">La casa blanca de Enrique Peña Nieto (investigación especial), </w:t>
      </w:r>
      <w:r w:rsidRPr="009203E5">
        <w:rPr>
          <w:rFonts w:ascii="Arial" w:hAnsi="Arial" w:cs="Arial"/>
          <w:sz w:val="20"/>
          <w:szCs w:val="20"/>
        </w:rPr>
        <w:t>Aristegui Noticias, 9 de noviembre, disponible en: http://aristeguinoticias.com/0911/mexico/la-casa-blanca-de-enrique-pena-nieto/.</w:t>
      </w:r>
    </w:p>
  </w:footnote>
  <w:footnote w:id="3">
    <w:p w:rsidR="00014C53" w:rsidRPr="00F4376B" w:rsidRDefault="00014C53" w:rsidP="009203E5">
      <w:pPr>
        <w:jc w:val="both"/>
        <w:rPr>
          <w:rFonts w:ascii="Arial" w:eastAsia="Times New Roman" w:hAnsi="Arial" w:cs="Arial"/>
          <w:sz w:val="16"/>
          <w:szCs w:val="16"/>
        </w:rPr>
      </w:pPr>
      <w:r w:rsidRPr="00F4376B">
        <w:rPr>
          <w:rStyle w:val="Refdenotaalpie"/>
          <w:rFonts w:ascii="Arial" w:hAnsi="Arial" w:cs="Arial"/>
          <w:sz w:val="16"/>
          <w:szCs w:val="16"/>
        </w:rPr>
        <w:footnoteRef/>
      </w:r>
      <w:r w:rsidRPr="00F4376B">
        <w:rPr>
          <w:rFonts w:ascii="Arial" w:hAnsi="Arial" w:cs="Arial"/>
          <w:i/>
          <w:sz w:val="16"/>
          <w:szCs w:val="16"/>
        </w:rPr>
        <w:t xml:space="preserve">Para Hinojosa Cantú, al menos $1,000 millones del presupuesto del </w:t>
      </w:r>
      <w:proofErr w:type="spellStart"/>
      <w:r w:rsidRPr="00F4376B">
        <w:rPr>
          <w:rFonts w:ascii="Arial" w:hAnsi="Arial" w:cs="Arial"/>
          <w:i/>
          <w:sz w:val="16"/>
          <w:szCs w:val="16"/>
        </w:rPr>
        <w:t>Edomex</w:t>
      </w:r>
      <w:proofErr w:type="spellEnd"/>
      <w:r w:rsidRPr="00F4376B">
        <w:rPr>
          <w:rFonts w:ascii="Arial" w:hAnsi="Arial" w:cs="Arial"/>
          <w:i/>
          <w:sz w:val="16"/>
          <w:szCs w:val="16"/>
        </w:rPr>
        <w:t xml:space="preserve">, </w:t>
      </w:r>
      <w:r w:rsidRPr="00F4376B">
        <w:rPr>
          <w:rFonts w:ascii="Arial" w:hAnsi="Arial" w:cs="Arial"/>
          <w:sz w:val="16"/>
          <w:szCs w:val="16"/>
        </w:rPr>
        <w:t xml:space="preserve">La Jornada, 20 de noviembre, Toluca, </w:t>
      </w:r>
      <w:proofErr w:type="spellStart"/>
      <w:r w:rsidRPr="00F4376B">
        <w:rPr>
          <w:rFonts w:ascii="Arial" w:hAnsi="Arial" w:cs="Arial"/>
          <w:sz w:val="16"/>
          <w:szCs w:val="16"/>
        </w:rPr>
        <w:t>Méx</w:t>
      </w:r>
      <w:proofErr w:type="spellEnd"/>
      <w:r w:rsidRPr="00F4376B">
        <w:rPr>
          <w:rFonts w:ascii="Arial" w:hAnsi="Arial" w:cs="Arial"/>
          <w:sz w:val="16"/>
          <w:szCs w:val="16"/>
        </w:rPr>
        <w:t xml:space="preserve">, disponible en: </w:t>
      </w:r>
      <w:hyperlink r:id="rId1" w:history="1">
        <w:r w:rsidRPr="00F4376B">
          <w:rPr>
            <w:rStyle w:val="Hipervnculo"/>
            <w:rFonts w:ascii="Arial" w:hAnsi="Arial" w:cs="Arial"/>
            <w:sz w:val="16"/>
            <w:szCs w:val="16"/>
          </w:rPr>
          <w:t>http://www.jornada.unam.mx/2014/11/20/estados/033n1est</w:t>
        </w:r>
      </w:hyperlink>
      <w:r w:rsidRPr="00F4376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:rsidR="00014C53" w:rsidRPr="009203E5" w:rsidRDefault="00014C53" w:rsidP="009203E5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F4376B">
        <w:rPr>
          <w:rStyle w:val="Refdenotaalpie"/>
          <w:rFonts w:ascii="Arial" w:hAnsi="Arial" w:cs="Arial"/>
          <w:sz w:val="16"/>
          <w:szCs w:val="16"/>
        </w:rPr>
        <w:footnoteRef/>
      </w:r>
      <w:proofErr w:type="spellStart"/>
      <w:r w:rsidRPr="00F4376B">
        <w:rPr>
          <w:rFonts w:ascii="Arial" w:hAnsi="Arial" w:cs="Arial"/>
          <w:i/>
          <w:sz w:val="16"/>
          <w:szCs w:val="16"/>
        </w:rPr>
        <w:t>Conflict</w:t>
      </w:r>
      <w:proofErr w:type="spellEnd"/>
      <w:r w:rsidRPr="00F4376B">
        <w:rPr>
          <w:rFonts w:ascii="Arial" w:hAnsi="Arial" w:cs="Arial"/>
          <w:i/>
          <w:sz w:val="16"/>
          <w:szCs w:val="16"/>
        </w:rPr>
        <w:t xml:space="preserve"> of </w:t>
      </w:r>
      <w:proofErr w:type="spellStart"/>
      <w:r w:rsidRPr="00F4376B">
        <w:rPr>
          <w:rFonts w:ascii="Arial" w:hAnsi="Arial" w:cs="Arial"/>
          <w:i/>
          <w:sz w:val="16"/>
          <w:szCs w:val="16"/>
        </w:rPr>
        <w:t>interest</w:t>
      </w:r>
      <w:proofErr w:type="spellEnd"/>
      <w:r w:rsidRPr="00F4376B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F4376B">
        <w:rPr>
          <w:rFonts w:ascii="Arial" w:hAnsi="Arial" w:cs="Arial"/>
          <w:sz w:val="16"/>
          <w:szCs w:val="16"/>
        </w:rPr>
        <w:t>Anticorruptionresource</w:t>
      </w:r>
      <w:proofErr w:type="spellEnd"/>
      <w:r w:rsidRPr="00F4376B">
        <w:rPr>
          <w:rFonts w:ascii="Arial" w:hAnsi="Arial" w:cs="Arial"/>
          <w:sz w:val="16"/>
          <w:szCs w:val="16"/>
        </w:rPr>
        <w:t xml:space="preserve"> center, traducción propia, disponible en: </w:t>
      </w:r>
      <w:hyperlink r:id="rId2" w:anchor="sthash.tC0gmwC6.dpuf" w:history="1">
        <w:r w:rsidRPr="00F4376B">
          <w:rPr>
            <w:rStyle w:val="Hipervnculo"/>
            <w:rFonts w:ascii="Arial" w:hAnsi="Arial" w:cs="Arial"/>
            <w:sz w:val="16"/>
            <w:szCs w:val="16"/>
          </w:rPr>
          <w:t>http://www.u4.no/glossary/conflict-of-interest/#sthash.tC0gmwC6.dpuf</w:t>
        </w:r>
      </w:hyperlink>
      <w:r w:rsidRPr="00F4376B">
        <w:rPr>
          <w:rFonts w:ascii="Arial" w:hAnsi="Arial" w:cs="Arial"/>
          <w:sz w:val="16"/>
          <w:szCs w:val="16"/>
        </w:rPr>
        <w:t>.</w:t>
      </w:r>
    </w:p>
  </w:footnote>
  <w:footnote w:id="5">
    <w:p w:rsidR="00014C53" w:rsidRPr="00B27996" w:rsidRDefault="00014C53" w:rsidP="00014C53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27996">
        <w:rPr>
          <w:rStyle w:val="Refdenotaalpie"/>
          <w:rFonts w:ascii="Arial" w:hAnsi="Arial" w:cs="Arial"/>
          <w:sz w:val="16"/>
          <w:szCs w:val="16"/>
        </w:rPr>
        <w:footnoteRef/>
      </w:r>
      <w:r w:rsidRPr="00B27996">
        <w:rPr>
          <w:rFonts w:ascii="Arial" w:hAnsi="Arial" w:cs="Arial"/>
          <w:i/>
          <w:sz w:val="16"/>
          <w:szCs w:val="16"/>
        </w:rPr>
        <w:t xml:space="preserve">México tendrá que pagar 590 millones a compañía China y hasta fotocopias y hoteles, </w:t>
      </w:r>
      <w:r w:rsidRPr="00B27996">
        <w:rPr>
          <w:rFonts w:ascii="Arial" w:hAnsi="Arial" w:cs="Arial"/>
          <w:sz w:val="16"/>
          <w:szCs w:val="16"/>
        </w:rPr>
        <w:t xml:space="preserve">Sin Embargo, 11 de noviembre, disponible en: </w:t>
      </w:r>
      <w:hyperlink r:id="rId3" w:history="1">
        <w:r w:rsidRPr="00B27996">
          <w:rPr>
            <w:rStyle w:val="Hipervnculo"/>
            <w:rFonts w:ascii="Arial" w:hAnsi="Arial" w:cs="Arial"/>
            <w:sz w:val="16"/>
            <w:szCs w:val="16"/>
          </w:rPr>
          <w:t>http://pulsoslp.com.mx/2014/11/11/mexico-tendra-que-pagar-590-millones-a-compania-china-y-hasta-fotocopias-y-hoteles/</w:t>
        </w:r>
      </w:hyperlink>
      <w:r w:rsidRPr="00B2799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B74"/>
    <w:multiLevelType w:val="multilevel"/>
    <w:tmpl w:val="E2D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B7CBD"/>
    <w:multiLevelType w:val="hybridMultilevel"/>
    <w:tmpl w:val="CAE688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37A3"/>
    <w:multiLevelType w:val="hybridMultilevel"/>
    <w:tmpl w:val="6E6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17C0"/>
    <w:multiLevelType w:val="hybridMultilevel"/>
    <w:tmpl w:val="AE06A5BC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26764"/>
    <w:multiLevelType w:val="hybridMultilevel"/>
    <w:tmpl w:val="8BF4B112"/>
    <w:lvl w:ilvl="0" w:tplc="0C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0D4"/>
    <w:rsid w:val="00007277"/>
    <w:rsid w:val="00014C53"/>
    <w:rsid w:val="00093D61"/>
    <w:rsid w:val="000C0EB3"/>
    <w:rsid w:val="000C4819"/>
    <w:rsid w:val="00113BA7"/>
    <w:rsid w:val="00132635"/>
    <w:rsid w:val="00151FA5"/>
    <w:rsid w:val="0017235D"/>
    <w:rsid w:val="00210D67"/>
    <w:rsid w:val="0021139B"/>
    <w:rsid w:val="002248C4"/>
    <w:rsid w:val="002A2793"/>
    <w:rsid w:val="002B0E4D"/>
    <w:rsid w:val="002C7534"/>
    <w:rsid w:val="002E7332"/>
    <w:rsid w:val="00337A5C"/>
    <w:rsid w:val="0034005B"/>
    <w:rsid w:val="00411BAF"/>
    <w:rsid w:val="00421A0B"/>
    <w:rsid w:val="004402F6"/>
    <w:rsid w:val="004A4CC8"/>
    <w:rsid w:val="004C1903"/>
    <w:rsid w:val="004C5A09"/>
    <w:rsid w:val="004E34D4"/>
    <w:rsid w:val="00544D8C"/>
    <w:rsid w:val="00552CD6"/>
    <w:rsid w:val="005A2763"/>
    <w:rsid w:val="005E3952"/>
    <w:rsid w:val="005F3E38"/>
    <w:rsid w:val="00653034"/>
    <w:rsid w:val="00675C59"/>
    <w:rsid w:val="006E1DB8"/>
    <w:rsid w:val="00700D26"/>
    <w:rsid w:val="007200B6"/>
    <w:rsid w:val="007218B4"/>
    <w:rsid w:val="00744A25"/>
    <w:rsid w:val="00745AF4"/>
    <w:rsid w:val="00750034"/>
    <w:rsid w:val="0079092A"/>
    <w:rsid w:val="007C30D4"/>
    <w:rsid w:val="007D7E84"/>
    <w:rsid w:val="007F4E77"/>
    <w:rsid w:val="00806D46"/>
    <w:rsid w:val="00846C7B"/>
    <w:rsid w:val="008A24F2"/>
    <w:rsid w:val="009035EA"/>
    <w:rsid w:val="009203E5"/>
    <w:rsid w:val="0092715E"/>
    <w:rsid w:val="00941DD3"/>
    <w:rsid w:val="009622C2"/>
    <w:rsid w:val="00966F01"/>
    <w:rsid w:val="009C171E"/>
    <w:rsid w:val="009D47D0"/>
    <w:rsid w:val="00A10A06"/>
    <w:rsid w:val="00A51734"/>
    <w:rsid w:val="00AD362E"/>
    <w:rsid w:val="00AF7825"/>
    <w:rsid w:val="00B27996"/>
    <w:rsid w:val="00B5134B"/>
    <w:rsid w:val="00B525F3"/>
    <w:rsid w:val="00BD649D"/>
    <w:rsid w:val="00C1537B"/>
    <w:rsid w:val="00C1637E"/>
    <w:rsid w:val="00C34051"/>
    <w:rsid w:val="00C75C23"/>
    <w:rsid w:val="00C77ECF"/>
    <w:rsid w:val="00D364C0"/>
    <w:rsid w:val="00D705EC"/>
    <w:rsid w:val="00DC5BF6"/>
    <w:rsid w:val="00E02972"/>
    <w:rsid w:val="00E14A18"/>
    <w:rsid w:val="00E23BE6"/>
    <w:rsid w:val="00E55CA5"/>
    <w:rsid w:val="00E878BA"/>
    <w:rsid w:val="00E904EF"/>
    <w:rsid w:val="00ED4A23"/>
    <w:rsid w:val="00F11A2B"/>
    <w:rsid w:val="00F15292"/>
    <w:rsid w:val="00F309D2"/>
    <w:rsid w:val="00F4376B"/>
    <w:rsid w:val="00F9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30D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34051"/>
  </w:style>
  <w:style w:type="character" w:customStyle="1" w:styleId="TextonotapieCar">
    <w:name w:val="Texto nota pie Car"/>
    <w:basedOn w:val="Fuentedeprrafopredeter"/>
    <w:link w:val="Textonotapie"/>
    <w:uiPriority w:val="99"/>
    <w:rsid w:val="00C34051"/>
  </w:style>
  <w:style w:type="character" w:styleId="Refdenotaalpie">
    <w:name w:val="footnote reference"/>
    <w:basedOn w:val="Fuentedeprrafopredeter"/>
    <w:uiPriority w:val="99"/>
    <w:unhideWhenUsed/>
    <w:rsid w:val="00C34051"/>
    <w:rPr>
      <w:vertAlign w:val="superscript"/>
    </w:rPr>
  </w:style>
  <w:style w:type="table" w:styleId="Tablaconcuadrcula">
    <w:name w:val="Table Grid"/>
    <w:basedOn w:val="Tablanormal"/>
    <w:uiPriority w:val="59"/>
    <w:rsid w:val="00C3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Sinespaciado"/>
    <w:link w:val="EstiloCar"/>
    <w:qFormat/>
    <w:rsid w:val="00C34051"/>
    <w:pPr>
      <w:jc w:val="both"/>
    </w:pPr>
    <w:rPr>
      <w:rFonts w:ascii="Arial" w:eastAsiaTheme="minorHAnsi" w:hAnsi="Arial"/>
      <w:szCs w:val="22"/>
      <w:lang w:val="es-MX"/>
    </w:rPr>
  </w:style>
  <w:style w:type="character" w:customStyle="1" w:styleId="EstiloCar">
    <w:name w:val="Estilo Car"/>
    <w:basedOn w:val="Fuentedeprrafopredeter"/>
    <w:link w:val="Estilo"/>
    <w:rsid w:val="00C34051"/>
    <w:rPr>
      <w:rFonts w:ascii="Arial" w:eastAsiaTheme="minorHAnsi" w:hAnsi="Arial"/>
      <w:szCs w:val="22"/>
      <w:lang w:val="es-MX"/>
    </w:rPr>
  </w:style>
  <w:style w:type="paragraph" w:styleId="Sinespaciado">
    <w:name w:val="No Spacing"/>
    <w:uiPriority w:val="1"/>
    <w:qFormat/>
    <w:rsid w:val="00C34051"/>
  </w:style>
  <w:style w:type="paragraph" w:styleId="Prrafodelista">
    <w:name w:val="List Paragraph"/>
    <w:basedOn w:val="Normal"/>
    <w:uiPriority w:val="34"/>
    <w:qFormat/>
    <w:rsid w:val="006E1DB8"/>
    <w:pPr>
      <w:ind w:left="720"/>
      <w:contextualSpacing/>
    </w:pPr>
  </w:style>
  <w:style w:type="paragraph" w:customStyle="1" w:styleId="s-s">
    <w:name w:val="s-s"/>
    <w:basedOn w:val="Normal"/>
    <w:rsid w:val="00A10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0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umario">
    <w:name w:val="sumario"/>
    <w:basedOn w:val="Normal"/>
    <w:rsid w:val="00A10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A4CC8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75C23"/>
    <w:rPr>
      <w:rFonts w:eastAsia="Calibr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30D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34051"/>
  </w:style>
  <w:style w:type="character" w:customStyle="1" w:styleId="TextonotapieCar">
    <w:name w:val="Texto nota pie Car"/>
    <w:basedOn w:val="Fuentedeprrafopredeter"/>
    <w:link w:val="Textonotapie"/>
    <w:uiPriority w:val="99"/>
    <w:rsid w:val="00C34051"/>
  </w:style>
  <w:style w:type="character" w:styleId="Refdenotaalpie">
    <w:name w:val="footnote reference"/>
    <w:basedOn w:val="Fuentedeprrafopredeter"/>
    <w:uiPriority w:val="99"/>
    <w:unhideWhenUsed/>
    <w:rsid w:val="00C34051"/>
    <w:rPr>
      <w:vertAlign w:val="superscript"/>
    </w:rPr>
  </w:style>
  <w:style w:type="table" w:styleId="Tablaconcuadrcula">
    <w:name w:val="Table Grid"/>
    <w:basedOn w:val="Tablanormal"/>
    <w:uiPriority w:val="59"/>
    <w:rsid w:val="00C3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Sinespaciado"/>
    <w:link w:val="EstiloCar"/>
    <w:qFormat/>
    <w:rsid w:val="00C34051"/>
    <w:pPr>
      <w:jc w:val="both"/>
    </w:pPr>
    <w:rPr>
      <w:rFonts w:ascii="Arial" w:eastAsiaTheme="minorHAnsi" w:hAnsi="Arial"/>
      <w:szCs w:val="22"/>
      <w:lang w:val="es-MX"/>
    </w:rPr>
  </w:style>
  <w:style w:type="character" w:customStyle="1" w:styleId="EstiloCar">
    <w:name w:val="Estilo Car"/>
    <w:basedOn w:val="Fuentedeprrafopredeter"/>
    <w:link w:val="Estilo"/>
    <w:rsid w:val="00C34051"/>
    <w:rPr>
      <w:rFonts w:ascii="Arial" w:eastAsiaTheme="minorHAnsi" w:hAnsi="Arial"/>
      <w:szCs w:val="22"/>
      <w:lang w:val="es-MX"/>
    </w:rPr>
  </w:style>
  <w:style w:type="paragraph" w:styleId="Sinespaciado">
    <w:name w:val="No Spacing"/>
    <w:uiPriority w:val="1"/>
    <w:qFormat/>
    <w:rsid w:val="00C34051"/>
  </w:style>
  <w:style w:type="paragraph" w:styleId="Prrafodelista">
    <w:name w:val="List Paragraph"/>
    <w:basedOn w:val="Normal"/>
    <w:uiPriority w:val="34"/>
    <w:qFormat/>
    <w:rsid w:val="006E1DB8"/>
    <w:pPr>
      <w:ind w:left="720"/>
      <w:contextualSpacing/>
    </w:pPr>
  </w:style>
  <w:style w:type="paragraph" w:customStyle="1" w:styleId="s-s">
    <w:name w:val="s-s"/>
    <w:basedOn w:val="Normal"/>
    <w:rsid w:val="00A10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0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umario">
    <w:name w:val="sumario"/>
    <w:basedOn w:val="Normal"/>
    <w:rsid w:val="00A10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A4CC8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75C23"/>
    <w:rPr>
      <w:rFonts w:eastAsia="Calibr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ulsoslp.com.mx/2014/11/11/mexico-tendra-que-pagar-590-millones-a-compania-china-y-hasta-fotocopias-y-hoteles/" TargetMode="External"/><Relationship Id="rId2" Type="http://schemas.openxmlformats.org/officeDocument/2006/relationships/hyperlink" Target="http://www.u4.no/glossary/conflict-of-interest/" TargetMode="External"/><Relationship Id="rId1" Type="http://schemas.openxmlformats.org/officeDocument/2006/relationships/hyperlink" Target="http://www.jornada.unam.mx/2014/11/20/estados/033n1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CIDE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Mercado Gómez</dc:creator>
  <cp:lastModifiedBy>Jhonatan</cp:lastModifiedBy>
  <cp:revision>12</cp:revision>
  <dcterms:created xsi:type="dcterms:W3CDTF">2014-11-24T18:03:00Z</dcterms:created>
  <dcterms:modified xsi:type="dcterms:W3CDTF">2014-11-26T20:53:00Z</dcterms:modified>
</cp:coreProperties>
</file>